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2390C" w14:textId="1323DDE3" w:rsidR="00071EEE" w:rsidRDefault="00071EEE" w:rsidP="00071EEE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02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71EEE">
        <w:rPr>
          <w:rFonts w:ascii="Times New Roman" w:hAnsi="Times New Roman" w:cs="Times New Roman" w:hint="eastAsia"/>
          <w:b/>
          <w:color w:val="000000" w:themeColor="text1"/>
          <w:sz w:val="30"/>
          <w:szCs w:val="30"/>
        </w:rPr>
        <w:t>电子图形工作站参数要求</w:t>
      </w:r>
    </w:p>
    <w:p w14:paraId="620414B8" w14:textId="77777777" w:rsidR="00071EEE" w:rsidRPr="00071EEE" w:rsidRDefault="00071EEE" w:rsidP="00071EEE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02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14:paraId="55AA1142" w14:textId="77777777" w:rsidR="005E46B1" w:rsidRPr="00071EEE" w:rsidRDefault="0026733C" w:rsidP="00071EEE">
      <w:pPr>
        <w:pStyle w:val="a5"/>
        <w:shd w:val="clear" w:color="auto" w:fill="FFFFFF"/>
        <w:adjustRightInd w:val="0"/>
        <w:snapToGrid w:val="0"/>
        <w:spacing w:beforeLines="50" w:before="156" w:beforeAutospacing="0" w:after="0" w:afterAutospacing="0" w:line="360" w:lineRule="auto"/>
        <w:ind w:leftChars="50" w:left="105"/>
        <w:rPr>
          <w:rFonts w:ascii="Times New Roman" w:hAnsi="Times New Roman" w:cs="Times New Roman"/>
          <w:color w:val="666666"/>
          <w:sz w:val="21"/>
          <w:szCs w:val="21"/>
        </w:rPr>
      </w:pPr>
      <w:r w:rsidRPr="00071EEE">
        <w:rPr>
          <w:rStyle w:val="a7"/>
          <w:rFonts w:ascii="Times New Roman" w:hAnsi="Times New Roman" w:cs="Times New Roman"/>
          <w:color w:val="000000"/>
          <w:sz w:val="21"/>
          <w:szCs w:val="21"/>
        </w:rPr>
        <w:t>一、技术参数：</w:t>
      </w:r>
    </w:p>
    <w:p w14:paraId="7197455D" w14:textId="77777777" w:rsidR="005E46B1" w:rsidRPr="00071EEE" w:rsidRDefault="0026733C" w:rsidP="00071EEE">
      <w:pPr>
        <w:pStyle w:val="a5"/>
        <w:shd w:val="clear" w:color="auto" w:fill="FFFFFF"/>
        <w:adjustRightInd w:val="0"/>
        <w:snapToGrid w:val="0"/>
        <w:spacing w:beforeLines="50" w:before="156" w:beforeAutospacing="0" w:after="0" w:afterAutospacing="0" w:line="360" w:lineRule="auto"/>
        <w:ind w:leftChars="50" w:left="105"/>
        <w:rPr>
          <w:rFonts w:ascii="Times New Roman" w:hAnsi="Times New Roman" w:cs="Times New Roman"/>
          <w:color w:val="000000"/>
          <w:sz w:val="21"/>
          <w:szCs w:val="21"/>
          <w14:ligatures w14:val="none"/>
        </w:rPr>
      </w:pPr>
      <w:r w:rsidRPr="00071EEE">
        <w:rPr>
          <w:rFonts w:ascii="Times New Roman" w:hAnsi="Times New Roman" w:cs="Times New Roman"/>
          <w:color w:val="000000"/>
          <w:sz w:val="21"/>
          <w:szCs w:val="21"/>
          <w14:ligatures w14:val="none"/>
        </w:rPr>
        <w:t>本次拟采购高性能图形工作站，型号参考联想</w:t>
      </w:r>
      <w:proofErr w:type="spellStart"/>
      <w:r w:rsidRPr="00071EEE">
        <w:rPr>
          <w:rFonts w:ascii="Times New Roman" w:hAnsi="Times New Roman" w:cs="Times New Roman"/>
          <w:color w:val="000000"/>
          <w:sz w:val="21"/>
          <w:szCs w:val="21"/>
          <w14:ligatures w14:val="none"/>
        </w:rPr>
        <w:t>ThinkStation</w:t>
      </w:r>
      <w:proofErr w:type="spellEnd"/>
      <w:r w:rsidRPr="00071EEE">
        <w:rPr>
          <w:rFonts w:ascii="Times New Roman" w:hAnsi="Times New Roman" w:cs="Times New Roman"/>
          <w:color w:val="000000"/>
          <w:sz w:val="21"/>
          <w:szCs w:val="21"/>
          <w14:ligatures w14:val="none"/>
        </w:rPr>
        <w:t xml:space="preserve"> PX</w:t>
      </w:r>
      <w:r w:rsidRPr="00071EEE">
        <w:rPr>
          <w:rFonts w:ascii="Times New Roman" w:hAnsi="Times New Roman" w:cs="Times New Roman"/>
          <w:color w:val="000000"/>
          <w:sz w:val="21"/>
          <w:szCs w:val="21"/>
          <w14:ligatures w14:val="none"/>
        </w:rPr>
        <w:t>，主要用于</w:t>
      </w:r>
      <w:r w:rsidRPr="00071EEE">
        <w:rPr>
          <w:rFonts w:ascii="Times New Roman" w:hAnsi="Times New Roman" w:cs="Times New Roman"/>
          <w:b/>
          <w:color w:val="000000" w:themeColor="text1"/>
          <w:sz w:val="21"/>
          <w:szCs w:val="21"/>
          <w14:ligatures w14:val="none"/>
        </w:rPr>
        <w:t>满足单位内部高强度科学计算、</w:t>
      </w:r>
      <w:r w:rsidRPr="00071EEE">
        <w:rPr>
          <w:rFonts w:ascii="Times New Roman" w:hAnsi="Times New Roman" w:cs="Times New Roman"/>
          <w:b/>
          <w:color w:val="000000" w:themeColor="text1"/>
          <w:sz w:val="21"/>
          <w:szCs w:val="21"/>
          <w14:ligatures w14:val="none"/>
        </w:rPr>
        <w:t>AI</w:t>
      </w:r>
      <w:r w:rsidRPr="00071EEE">
        <w:rPr>
          <w:rFonts w:ascii="Times New Roman" w:hAnsi="Times New Roman" w:cs="Times New Roman"/>
          <w:b/>
          <w:color w:val="000000" w:themeColor="text1"/>
          <w:sz w:val="21"/>
          <w:szCs w:val="21"/>
          <w14:ligatures w14:val="none"/>
        </w:rPr>
        <w:t>模型训练、</w:t>
      </w:r>
      <w:r w:rsidRPr="00071EEE">
        <w:rPr>
          <w:rFonts w:ascii="Times New Roman" w:hAnsi="Times New Roman" w:cs="Times New Roman"/>
          <w:b/>
          <w:color w:val="000000" w:themeColor="text1"/>
          <w:sz w:val="21"/>
          <w:szCs w:val="21"/>
          <w14:ligatures w14:val="none"/>
        </w:rPr>
        <w:t>3D</w:t>
      </w:r>
      <w:r w:rsidRPr="00071EEE">
        <w:rPr>
          <w:rFonts w:ascii="Times New Roman" w:hAnsi="Times New Roman" w:cs="Times New Roman"/>
          <w:b/>
          <w:color w:val="000000" w:themeColor="text1"/>
          <w:sz w:val="21"/>
          <w:szCs w:val="21"/>
          <w14:ligatures w14:val="none"/>
        </w:rPr>
        <w:t>渲染及复杂图形处理任务</w:t>
      </w:r>
      <w:r w:rsidRPr="00071EEE">
        <w:rPr>
          <w:rFonts w:ascii="Times New Roman" w:hAnsi="Times New Roman" w:cs="Times New Roman"/>
          <w:color w:val="000000"/>
          <w:sz w:val="21"/>
          <w:szCs w:val="21"/>
          <w14:ligatures w14:val="none"/>
        </w:rPr>
        <w:t>。具体技术规格要求如下：</w:t>
      </w:r>
    </w:p>
    <w:p w14:paraId="668C84E0" w14:textId="77777777" w:rsidR="005E46B1" w:rsidRPr="00071EEE" w:rsidRDefault="0026733C" w:rsidP="00071EEE">
      <w:pPr>
        <w:pStyle w:val="a5"/>
        <w:shd w:val="clear" w:color="auto" w:fill="FFFFFF"/>
        <w:adjustRightInd w:val="0"/>
        <w:snapToGrid w:val="0"/>
        <w:spacing w:beforeLines="50" w:before="156" w:beforeAutospacing="0" w:after="0" w:afterAutospacing="0" w:line="360" w:lineRule="auto"/>
        <w:ind w:leftChars="50" w:left="105"/>
        <w:rPr>
          <w:rStyle w:val="a7"/>
          <w:rFonts w:ascii="Times New Roman" w:hAnsi="Times New Roman" w:cs="Times New Roman"/>
          <w:color w:val="000000"/>
          <w:sz w:val="21"/>
          <w:szCs w:val="21"/>
        </w:rPr>
      </w:pPr>
      <w:r w:rsidRPr="00071EEE">
        <w:rPr>
          <w:rStyle w:val="a7"/>
          <w:rFonts w:ascii="Times New Roman" w:hAnsi="Times New Roman" w:cs="Times New Roman"/>
          <w:color w:val="000000"/>
          <w:sz w:val="21"/>
          <w:szCs w:val="21"/>
        </w:rPr>
        <w:t>电子图形工作站具体规格要求：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53"/>
        <w:gridCol w:w="5702"/>
        <w:gridCol w:w="2173"/>
      </w:tblGrid>
      <w:tr w:rsidR="005E46B1" w:rsidRPr="00071EEE" w14:paraId="6AA186AD" w14:textId="77777777" w:rsidTr="00071EEE">
        <w:trPr>
          <w:jc w:val="center"/>
        </w:trPr>
        <w:tc>
          <w:tcPr>
            <w:tcW w:w="1757" w:type="dxa"/>
          </w:tcPr>
          <w:p w14:paraId="5A2B8EBD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核心部件</w:t>
            </w:r>
          </w:p>
        </w:tc>
        <w:tc>
          <w:tcPr>
            <w:tcW w:w="5722" w:type="dxa"/>
          </w:tcPr>
          <w:p w14:paraId="6863E5F7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详细技术参数要求</w:t>
            </w:r>
          </w:p>
        </w:tc>
        <w:tc>
          <w:tcPr>
            <w:tcW w:w="2178" w:type="dxa"/>
          </w:tcPr>
          <w:p w14:paraId="520A9001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备注</w:t>
            </w:r>
          </w:p>
        </w:tc>
      </w:tr>
      <w:tr w:rsidR="005E46B1" w:rsidRPr="00071EEE" w14:paraId="6932F845" w14:textId="77777777" w:rsidTr="00071EEE">
        <w:trPr>
          <w:jc w:val="center"/>
        </w:trPr>
        <w:tc>
          <w:tcPr>
            <w:tcW w:w="1757" w:type="dxa"/>
            <w:vAlign w:val="center"/>
          </w:tcPr>
          <w:p w14:paraId="5C6744B1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处理器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(CPU)</w:t>
            </w:r>
          </w:p>
        </w:tc>
        <w:tc>
          <w:tcPr>
            <w:tcW w:w="5722" w:type="dxa"/>
          </w:tcPr>
          <w:p w14:paraId="314CBE94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2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颗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Intel Xeon Platinum 6530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单</w:t>
            </w:r>
            <w:proofErr w:type="gramStart"/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颗核心数</w:t>
            </w:r>
            <w:proofErr w:type="gramEnd"/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≥ 32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核；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单颗</w:t>
            </w:r>
            <w:proofErr w:type="gramStart"/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线程数</w:t>
            </w:r>
            <w:proofErr w:type="gramEnd"/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≥ 64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线程；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基频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≥ 2.0GHz</w:t>
            </w:r>
          </w:p>
        </w:tc>
        <w:tc>
          <w:tcPr>
            <w:tcW w:w="2178" w:type="dxa"/>
          </w:tcPr>
          <w:p w14:paraId="36CE4660" w14:textId="77777777" w:rsidR="005E46B1" w:rsidRPr="00071EEE" w:rsidRDefault="005E46B1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E46B1" w:rsidRPr="00071EEE" w14:paraId="1C401D1B" w14:textId="77777777" w:rsidTr="00071EEE">
        <w:trPr>
          <w:jc w:val="center"/>
        </w:trPr>
        <w:tc>
          <w:tcPr>
            <w:tcW w:w="1757" w:type="dxa"/>
            <w:vAlign w:val="center"/>
          </w:tcPr>
          <w:p w14:paraId="32EA9138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内存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(RAM)</w:t>
            </w:r>
          </w:p>
        </w:tc>
        <w:tc>
          <w:tcPr>
            <w:tcW w:w="5722" w:type="dxa"/>
          </w:tcPr>
          <w:p w14:paraId="123297E6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容量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≥ 128GB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（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32G*4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）；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品牌原厂内存（三星颗粒），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类型：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DDR5 ECC RDIMM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（错误校验内存）；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支持通道数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≥ 8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通道</w:t>
            </w:r>
          </w:p>
        </w:tc>
        <w:tc>
          <w:tcPr>
            <w:tcW w:w="2178" w:type="dxa"/>
          </w:tcPr>
          <w:p w14:paraId="4B4202B3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保证计算稳定性</w:t>
            </w:r>
          </w:p>
        </w:tc>
      </w:tr>
      <w:tr w:rsidR="005E46B1" w:rsidRPr="00071EEE" w14:paraId="1CBAE8D0" w14:textId="77777777" w:rsidTr="00071EEE">
        <w:trPr>
          <w:jc w:val="center"/>
        </w:trPr>
        <w:tc>
          <w:tcPr>
            <w:tcW w:w="1757" w:type="dxa"/>
            <w:vAlign w:val="center"/>
          </w:tcPr>
          <w:p w14:paraId="253CDF85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硬盘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(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存储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5722" w:type="dxa"/>
          </w:tcPr>
          <w:p w14:paraId="0D65C90B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三星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 2TB </w:t>
            </w:r>
            <w:proofErr w:type="spellStart"/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NVMe</w:t>
            </w:r>
            <w:proofErr w:type="spellEnd"/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M.2 SSD, </w:t>
            </w:r>
            <w:proofErr w:type="spellStart"/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NVMe</w:t>
            </w:r>
            <w:proofErr w:type="spellEnd"/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协议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PCIe4.0*4/5.0*2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，（用于系统及应用）；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要求顺序读取速度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≥ 7250MB/s</w:t>
            </w:r>
          </w:p>
        </w:tc>
        <w:tc>
          <w:tcPr>
            <w:tcW w:w="2178" w:type="dxa"/>
          </w:tcPr>
          <w:p w14:paraId="1047656F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如有大文件存储需求，可备注加装机械硬盘</w:t>
            </w:r>
          </w:p>
        </w:tc>
      </w:tr>
      <w:tr w:rsidR="005E46B1" w:rsidRPr="00071EEE" w14:paraId="27AEF96E" w14:textId="77777777" w:rsidTr="00071EEE">
        <w:trPr>
          <w:jc w:val="center"/>
        </w:trPr>
        <w:tc>
          <w:tcPr>
            <w:tcW w:w="1757" w:type="dxa"/>
            <w:vAlign w:val="center"/>
          </w:tcPr>
          <w:p w14:paraId="1136638D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显卡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(GPU)</w:t>
            </w:r>
          </w:p>
        </w:tc>
        <w:tc>
          <w:tcPr>
            <w:tcW w:w="5722" w:type="dxa"/>
          </w:tcPr>
          <w:p w14:paraId="53C97D1A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1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块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NVIDIA RTX PRO 5000 Blackwell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显卡；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显存容量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≥ 48GB GDDR7 with ECC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；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CUDA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核心数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≥ 14080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个</w:t>
            </w:r>
          </w:p>
        </w:tc>
        <w:tc>
          <w:tcPr>
            <w:tcW w:w="2178" w:type="dxa"/>
          </w:tcPr>
          <w:p w14:paraId="45E0A228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核心重点，近期发布的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Blackwell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架构新品</w:t>
            </w:r>
          </w:p>
        </w:tc>
      </w:tr>
      <w:tr w:rsidR="005E46B1" w:rsidRPr="00071EEE" w14:paraId="66BFF713" w14:textId="77777777" w:rsidTr="00071EEE">
        <w:trPr>
          <w:jc w:val="center"/>
        </w:trPr>
        <w:tc>
          <w:tcPr>
            <w:tcW w:w="1757" w:type="dxa"/>
            <w:vAlign w:val="center"/>
          </w:tcPr>
          <w:p w14:paraId="58EE86FB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电源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(PSU)</w:t>
            </w:r>
          </w:p>
        </w:tc>
        <w:tc>
          <w:tcPr>
            <w:tcW w:w="5722" w:type="dxa"/>
          </w:tcPr>
          <w:p w14:paraId="4144D785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功率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≥ 1850W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；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效率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≥ 90%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（金牌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/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白金牌认证）；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支持冗余或高稳定输出</w:t>
            </w:r>
          </w:p>
        </w:tc>
        <w:tc>
          <w:tcPr>
            <w:tcW w:w="2178" w:type="dxa"/>
          </w:tcPr>
          <w:p w14:paraId="345858C0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保障双路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CPU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和高功耗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GPU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稳定运行</w:t>
            </w:r>
          </w:p>
        </w:tc>
      </w:tr>
      <w:tr w:rsidR="005E46B1" w:rsidRPr="00071EEE" w14:paraId="70C56924" w14:textId="77777777" w:rsidTr="00071EEE">
        <w:trPr>
          <w:jc w:val="center"/>
        </w:trPr>
        <w:tc>
          <w:tcPr>
            <w:tcW w:w="1757" w:type="dxa"/>
            <w:vAlign w:val="center"/>
          </w:tcPr>
          <w:p w14:paraId="63D567FD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网络接口</w:t>
            </w:r>
          </w:p>
        </w:tc>
        <w:tc>
          <w:tcPr>
            <w:tcW w:w="5722" w:type="dxa"/>
          </w:tcPr>
          <w:p w14:paraId="6FA47098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集成千兆以太网卡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（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≥ 1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个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RJ45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端口）</w:t>
            </w:r>
          </w:p>
        </w:tc>
        <w:tc>
          <w:tcPr>
            <w:tcW w:w="2178" w:type="dxa"/>
          </w:tcPr>
          <w:p w14:paraId="5A1B105D" w14:textId="77777777" w:rsidR="005E46B1" w:rsidRPr="00071EEE" w:rsidRDefault="005E46B1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E46B1" w:rsidRPr="00071EEE" w14:paraId="52933E56" w14:textId="77777777" w:rsidTr="00071EEE">
        <w:trPr>
          <w:jc w:val="center"/>
        </w:trPr>
        <w:tc>
          <w:tcPr>
            <w:tcW w:w="1757" w:type="dxa"/>
            <w:vAlign w:val="center"/>
          </w:tcPr>
          <w:p w14:paraId="5EA4DCA0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散热系统</w:t>
            </w:r>
          </w:p>
        </w:tc>
        <w:tc>
          <w:tcPr>
            <w:tcW w:w="5722" w:type="dxa"/>
          </w:tcPr>
          <w:p w14:paraId="117DDEBA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针对双路处理器配置的风冷或液冷散热方案，保证满载时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CPU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不降频</w:t>
            </w:r>
          </w:p>
        </w:tc>
        <w:tc>
          <w:tcPr>
            <w:tcW w:w="2178" w:type="dxa"/>
          </w:tcPr>
          <w:p w14:paraId="3AE46F85" w14:textId="77777777" w:rsidR="005E46B1" w:rsidRPr="00071EEE" w:rsidRDefault="005E46B1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E46B1" w:rsidRPr="00071EEE" w14:paraId="52125F41" w14:textId="77777777" w:rsidTr="00071EEE">
        <w:trPr>
          <w:jc w:val="center"/>
        </w:trPr>
        <w:tc>
          <w:tcPr>
            <w:tcW w:w="1757" w:type="dxa"/>
            <w:vAlign w:val="center"/>
          </w:tcPr>
          <w:p w14:paraId="51065612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系统</w:t>
            </w:r>
          </w:p>
        </w:tc>
        <w:tc>
          <w:tcPr>
            <w:tcW w:w="5722" w:type="dxa"/>
          </w:tcPr>
          <w:p w14:paraId="7B20DB75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预装正版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WINDOWS11 64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位专业版软件</w:t>
            </w:r>
          </w:p>
        </w:tc>
        <w:tc>
          <w:tcPr>
            <w:tcW w:w="2178" w:type="dxa"/>
          </w:tcPr>
          <w:p w14:paraId="36901F6D" w14:textId="77777777" w:rsidR="005E46B1" w:rsidRPr="00071EEE" w:rsidRDefault="005E46B1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E46B1" w:rsidRPr="00071EEE" w14:paraId="4F5A484E" w14:textId="77777777" w:rsidTr="00071EEE">
        <w:trPr>
          <w:jc w:val="center"/>
        </w:trPr>
        <w:tc>
          <w:tcPr>
            <w:tcW w:w="1757" w:type="dxa"/>
            <w:vAlign w:val="center"/>
          </w:tcPr>
          <w:p w14:paraId="1DA10981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保修服务</w:t>
            </w:r>
          </w:p>
        </w:tc>
        <w:tc>
          <w:tcPr>
            <w:tcW w:w="5722" w:type="dxa"/>
          </w:tcPr>
          <w:p w14:paraId="01FBEC5C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原厂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3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年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 xml:space="preserve"> </w:t>
            </w:r>
            <w:r w:rsidRPr="00071EEE">
              <w:rPr>
                <w:rFonts w:ascii="Times New Roman" w:hAnsi="Times New Roman" w:cs="Times New Roman"/>
                <w:color w:val="000000"/>
                <w:sz w:val="21"/>
                <w:szCs w:val="21"/>
                <w14:ligatures w14:val="none"/>
              </w:rPr>
              <w:t>整机质保</w:t>
            </w:r>
          </w:p>
        </w:tc>
        <w:tc>
          <w:tcPr>
            <w:tcW w:w="2178" w:type="dxa"/>
          </w:tcPr>
          <w:p w14:paraId="5F102699" w14:textId="77777777" w:rsidR="005E46B1" w:rsidRPr="00071EEE" w:rsidRDefault="0026733C" w:rsidP="00071EEE">
            <w:pPr>
              <w:pStyle w:val="a5"/>
              <w:shd w:val="clear" w:color="auto" w:fill="FFFFFF"/>
              <w:adjustRightInd w:val="0"/>
              <w:snapToGrid w:val="0"/>
              <w:spacing w:beforeLines="50" w:before="156" w:beforeAutospacing="0" w:after="0" w:afterAutospacing="0" w:line="360" w:lineRule="auto"/>
              <w:ind w:leftChars="50" w:lef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071EEE">
              <w:rPr>
                <w:rFonts w:ascii="Times New Roman" w:hAnsi="Times New Roman" w:cs="Times New Roman"/>
                <w:sz w:val="21"/>
                <w:szCs w:val="21"/>
              </w:rPr>
              <w:t>（硬盘</w:t>
            </w:r>
            <w:proofErr w:type="gramStart"/>
            <w:r w:rsidRPr="00071EEE">
              <w:rPr>
                <w:rFonts w:ascii="Times New Roman" w:hAnsi="Times New Roman" w:cs="Times New Roman"/>
                <w:sz w:val="21"/>
                <w:szCs w:val="21"/>
              </w:rPr>
              <w:t>不</w:t>
            </w:r>
            <w:proofErr w:type="gramEnd"/>
            <w:r w:rsidRPr="00071EEE">
              <w:rPr>
                <w:rFonts w:ascii="Times New Roman" w:hAnsi="Times New Roman" w:cs="Times New Roman"/>
                <w:sz w:val="21"/>
                <w:szCs w:val="21"/>
              </w:rPr>
              <w:t>返还）</w:t>
            </w:r>
          </w:p>
        </w:tc>
      </w:tr>
    </w:tbl>
    <w:p w14:paraId="0E609580" w14:textId="0F603B13" w:rsidR="005E46B1" w:rsidRPr="00071EEE" w:rsidRDefault="0026733C" w:rsidP="00071EEE">
      <w:pPr>
        <w:pStyle w:val="a5"/>
        <w:shd w:val="clear" w:color="auto" w:fill="FFFFFF"/>
        <w:adjustRightInd w:val="0"/>
        <w:snapToGrid w:val="0"/>
        <w:spacing w:beforeLines="50" w:before="156" w:beforeAutospacing="0" w:after="0" w:afterAutospacing="0" w:line="360" w:lineRule="auto"/>
        <w:ind w:leftChars="50" w:left="105"/>
        <w:rPr>
          <w:rStyle w:val="a7"/>
          <w:rFonts w:ascii="Times New Roman" w:hAnsi="Times New Roman" w:cs="Times New Roman"/>
          <w:color w:val="000000"/>
          <w:sz w:val="21"/>
          <w:szCs w:val="21"/>
        </w:rPr>
      </w:pPr>
      <w:r w:rsidRPr="00071EEE">
        <w:rPr>
          <w:rStyle w:val="a7"/>
          <w:rFonts w:ascii="Times New Roman" w:hAnsi="Times New Roman" w:cs="Times New Roman"/>
          <w:color w:val="000000"/>
          <w:sz w:val="21"/>
          <w:szCs w:val="21"/>
        </w:rPr>
        <w:t>二、</w:t>
      </w:r>
      <w:r w:rsidR="00D9795E">
        <w:rPr>
          <w:rStyle w:val="a7"/>
          <w:rFonts w:ascii="Times New Roman" w:hAnsi="Times New Roman" w:cs="Times New Roman" w:hint="eastAsia"/>
          <w:color w:val="000000"/>
          <w:sz w:val="21"/>
          <w:szCs w:val="21"/>
        </w:rPr>
        <w:t>配置</w:t>
      </w:r>
      <w:bookmarkStart w:id="0" w:name="_GoBack"/>
      <w:bookmarkEnd w:id="0"/>
      <w:r w:rsidRPr="00071EEE">
        <w:rPr>
          <w:rStyle w:val="a7"/>
          <w:rFonts w:ascii="Times New Roman" w:hAnsi="Times New Roman" w:cs="Times New Roman"/>
          <w:color w:val="000000"/>
          <w:sz w:val="21"/>
          <w:szCs w:val="21"/>
        </w:rPr>
        <w:t>清单：</w:t>
      </w:r>
    </w:p>
    <w:p w14:paraId="5DADF503" w14:textId="77777777" w:rsidR="005E46B1" w:rsidRPr="00071EEE" w:rsidRDefault="0026733C" w:rsidP="00071EEE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</w:pPr>
      <w:r w:rsidRPr="00071EEE"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  <w:t>1</w:t>
      </w:r>
      <w:r w:rsidRPr="00071EEE"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  <w:t>、电子图形工作站一台</w:t>
      </w:r>
    </w:p>
    <w:p w14:paraId="0A936DC7" w14:textId="0223DA89" w:rsidR="005E46B1" w:rsidRDefault="0026733C" w:rsidP="00071EEE">
      <w:pPr>
        <w:pStyle w:val="a5"/>
        <w:shd w:val="clear" w:color="auto" w:fill="FFFFFF"/>
        <w:adjustRightInd w:val="0"/>
        <w:snapToGrid w:val="0"/>
        <w:spacing w:beforeLines="50" w:before="156" w:beforeAutospacing="0" w:after="0" w:afterAutospacing="0" w:line="360" w:lineRule="auto"/>
        <w:ind w:leftChars="50" w:left="105"/>
        <w:rPr>
          <w:rStyle w:val="a7"/>
          <w:rFonts w:ascii="Times New Roman" w:hAnsi="Times New Roman" w:cs="Times New Roman"/>
          <w:color w:val="000000"/>
          <w:sz w:val="21"/>
          <w:szCs w:val="21"/>
        </w:rPr>
      </w:pPr>
      <w:r w:rsidRPr="00071EEE">
        <w:rPr>
          <w:rStyle w:val="a7"/>
          <w:rFonts w:ascii="Times New Roman" w:hAnsi="Times New Roman" w:cs="Times New Roman"/>
          <w:color w:val="000000"/>
          <w:sz w:val="21"/>
          <w:szCs w:val="21"/>
        </w:rPr>
        <w:lastRenderedPageBreak/>
        <w:t>三、售后服务：</w:t>
      </w:r>
    </w:p>
    <w:p w14:paraId="34836411" w14:textId="0EA98681" w:rsidR="0026733C" w:rsidRPr="0026733C" w:rsidRDefault="0026733C" w:rsidP="0026733C">
      <w:pPr>
        <w:widowControl/>
        <w:shd w:val="clear" w:color="auto" w:fill="FFFFFF"/>
        <w:adjustRightInd w:val="0"/>
        <w:snapToGrid w:val="0"/>
        <w:spacing w:line="360" w:lineRule="auto"/>
        <w:ind w:firstLineChars="300" w:firstLine="630"/>
        <w:jc w:val="left"/>
        <w:rPr>
          <w:rFonts w:ascii="宋体" w:eastAsia="宋体" w:hAnsi="宋体"/>
          <w:bCs/>
          <w:color w:val="000000"/>
          <w14:ligatures w14:val="none"/>
        </w:rPr>
      </w:pPr>
      <w:r w:rsidRPr="0026733C">
        <w:rPr>
          <w:rFonts w:ascii="宋体" w:eastAsia="宋体" w:hAnsi="宋体"/>
          <w:bCs/>
          <w:color w:val="000000"/>
          <w14:ligatures w14:val="none"/>
        </w:rPr>
        <w:t>1、按照合同要求执行，按时提供货物，及时安排人员对仪器安装调试和使用培训，免费培训用户，使用户能够掌握该设备的操作方法及常见故障的排除方法。安装调试</w:t>
      </w:r>
      <w:proofErr w:type="gramStart"/>
      <w:r w:rsidRPr="0026733C">
        <w:rPr>
          <w:rFonts w:ascii="宋体" w:eastAsia="宋体" w:hAnsi="宋体"/>
          <w:bCs/>
          <w:color w:val="000000"/>
          <w14:ligatures w14:val="none"/>
        </w:rPr>
        <w:t>时间为货到</w:t>
      </w:r>
      <w:proofErr w:type="gramEnd"/>
      <w:r w:rsidRPr="0026733C">
        <w:rPr>
          <w:rFonts w:ascii="宋体" w:eastAsia="宋体" w:hAnsi="宋体"/>
          <w:bCs/>
          <w:color w:val="000000"/>
          <w14:ligatures w14:val="none"/>
        </w:rPr>
        <w:t>用户使用地点1周内或按照双方约定。</w:t>
      </w:r>
    </w:p>
    <w:p w14:paraId="029AC350" w14:textId="3872AD4A" w:rsidR="005E46B1" w:rsidRPr="00071EEE" w:rsidRDefault="0026733C" w:rsidP="00071EEE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  <w:t>2</w:t>
      </w:r>
      <w:r w:rsidRPr="00071EEE"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  <w:t>、提供一年的免费售后服务，时间自货物验收合格之日起算。</w:t>
      </w:r>
      <w:r w:rsidR="00071EEE" w:rsidRPr="00071EEE"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  <w:t>保修期内提供随时的</w:t>
      </w:r>
      <w:r w:rsidR="00071EEE">
        <w:rPr>
          <w:rFonts w:ascii="Times New Roman" w:eastAsia="宋体" w:hAnsi="Times New Roman" w:cs="Times New Roman" w:hint="eastAsia"/>
          <w:color w:val="000000"/>
          <w:kern w:val="0"/>
          <w:szCs w:val="21"/>
          <w14:ligatures w14:val="none"/>
        </w:rPr>
        <w:t>维修服务</w:t>
      </w:r>
      <w:r w:rsidR="00071EEE" w:rsidRPr="00071EEE"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  <w:t>，保修期外可收取更换部件的合理成本费。</w:t>
      </w:r>
    </w:p>
    <w:p w14:paraId="34167E55" w14:textId="77777777" w:rsidR="005E46B1" w:rsidRPr="00071EEE" w:rsidRDefault="0026733C" w:rsidP="00071EEE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color w:val="666666"/>
          <w:kern w:val="0"/>
          <w:szCs w:val="21"/>
          <w14:ligatures w14:val="none"/>
        </w:rPr>
      </w:pPr>
      <w:r w:rsidRPr="00071EEE">
        <w:rPr>
          <w:rFonts w:ascii="Times New Roman" w:eastAsia="宋体" w:hAnsi="Times New Roman" w:cs="Times New Roman"/>
          <w:b/>
          <w:bCs/>
          <w:color w:val="000000"/>
          <w:kern w:val="0"/>
          <w:szCs w:val="21"/>
          <w14:ligatures w14:val="none"/>
        </w:rPr>
        <w:t>交货时间：</w:t>
      </w:r>
      <w:r w:rsidRPr="00071EEE"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  <w:t>合同签订后</w:t>
      </w:r>
      <w:r w:rsidRPr="00071EEE"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  <w:t>10</w:t>
      </w:r>
      <w:r w:rsidRPr="00071EEE"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  <w:t>个工作日内</w:t>
      </w:r>
    </w:p>
    <w:p w14:paraId="11793AD3" w14:textId="77777777" w:rsidR="005E46B1" w:rsidRPr="00071EEE" w:rsidRDefault="0026733C" w:rsidP="00071EEE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color w:val="666666"/>
          <w:kern w:val="0"/>
          <w:szCs w:val="21"/>
          <w14:ligatures w14:val="none"/>
        </w:rPr>
      </w:pPr>
      <w:r w:rsidRPr="00071EEE">
        <w:rPr>
          <w:rFonts w:ascii="Times New Roman" w:eastAsia="宋体" w:hAnsi="Times New Roman" w:cs="Times New Roman"/>
          <w:b/>
          <w:bCs/>
          <w:color w:val="000000"/>
          <w:kern w:val="0"/>
          <w:szCs w:val="21"/>
          <w14:ligatures w14:val="none"/>
        </w:rPr>
        <w:t>交货地点：</w:t>
      </w:r>
      <w:r w:rsidRPr="00071EEE">
        <w:rPr>
          <w:rFonts w:ascii="Times New Roman" w:eastAsia="宋体" w:hAnsi="Times New Roman" w:cs="Times New Roman"/>
          <w:color w:val="000000"/>
          <w:kern w:val="0"/>
          <w:szCs w:val="21"/>
          <w14:ligatures w14:val="none"/>
        </w:rPr>
        <w:t>中国科学院南京土壤研究所或指定地点。</w:t>
      </w:r>
    </w:p>
    <w:p w14:paraId="6BADC4B8" w14:textId="77777777" w:rsidR="005E46B1" w:rsidRPr="00071EEE" w:rsidRDefault="005E46B1" w:rsidP="00071EEE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color w:val="666666"/>
          <w:kern w:val="0"/>
          <w:szCs w:val="21"/>
          <w14:ligatures w14:val="none"/>
        </w:rPr>
      </w:pPr>
    </w:p>
    <w:sectPr w:rsidR="005E46B1" w:rsidRPr="00071EEE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0MDA5YWZmNjM3Y2JjNmNhOTZiOTAxMjJjZjBkNWQifQ=="/>
    <w:docVar w:name="KSO_WPS_MARK_KEY" w:val="8d461874-c9b6-496b-99fd-c53e4ad84561"/>
  </w:docVars>
  <w:rsids>
    <w:rsidRoot w:val="00172A27"/>
    <w:rsid w:val="00071EEE"/>
    <w:rsid w:val="00076493"/>
    <w:rsid w:val="00084C79"/>
    <w:rsid w:val="00171283"/>
    <w:rsid w:val="00172A27"/>
    <w:rsid w:val="001A2CAA"/>
    <w:rsid w:val="00212990"/>
    <w:rsid w:val="0022055C"/>
    <w:rsid w:val="0026733C"/>
    <w:rsid w:val="002673A2"/>
    <w:rsid w:val="00276BD5"/>
    <w:rsid w:val="0028163D"/>
    <w:rsid w:val="002E2B35"/>
    <w:rsid w:val="00324886"/>
    <w:rsid w:val="00390157"/>
    <w:rsid w:val="003A7296"/>
    <w:rsid w:val="004E4CF0"/>
    <w:rsid w:val="00505C62"/>
    <w:rsid w:val="0054039D"/>
    <w:rsid w:val="005413D0"/>
    <w:rsid w:val="005B28A4"/>
    <w:rsid w:val="005E46B1"/>
    <w:rsid w:val="00694C1A"/>
    <w:rsid w:val="006F1BBC"/>
    <w:rsid w:val="0070371F"/>
    <w:rsid w:val="007923B6"/>
    <w:rsid w:val="009015BB"/>
    <w:rsid w:val="00970A4A"/>
    <w:rsid w:val="0099384C"/>
    <w:rsid w:val="00A01466"/>
    <w:rsid w:val="00A577DD"/>
    <w:rsid w:val="00BA7A4F"/>
    <w:rsid w:val="00C055CF"/>
    <w:rsid w:val="00CD4633"/>
    <w:rsid w:val="00D66F99"/>
    <w:rsid w:val="00D85FFB"/>
    <w:rsid w:val="00D9620D"/>
    <w:rsid w:val="00D968E8"/>
    <w:rsid w:val="00D9795E"/>
    <w:rsid w:val="00E03EB3"/>
    <w:rsid w:val="00E865DA"/>
    <w:rsid w:val="00EA7F39"/>
    <w:rsid w:val="00EB3F89"/>
    <w:rsid w:val="00F21230"/>
    <w:rsid w:val="00F6690A"/>
    <w:rsid w:val="00FC1A60"/>
    <w:rsid w:val="00FD002A"/>
    <w:rsid w:val="00FE7E41"/>
    <w:rsid w:val="0B0D1FE7"/>
    <w:rsid w:val="110732FE"/>
    <w:rsid w:val="36B97338"/>
    <w:rsid w:val="36D06063"/>
    <w:rsid w:val="46867C2D"/>
    <w:rsid w:val="51C234E5"/>
    <w:rsid w:val="606D043B"/>
    <w:rsid w:val="6BF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57E"/>
  <w15:docId w15:val="{DD576B02-C60D-4082-9BDC-01564E43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ind w:left="1452"/>
      <w:jc w:val="left"/>
    </w:pPr>
    <w:rPr>
      <w:rFonts w:ascii="宋体" w:eastAsia="宋体" w:hAnsi="宋体" w:cs="宋体"/>
      <w:kern w:val="0"/>
      <w:sz w:val="22"/>
      <w:lang w:eastAsia="en-US" w:bidi="en-US"/>
      <w14:ligatures w14:val="none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2"/>
      <w:lang w:eastAsia="en-US" w:bidi="en-US"/>
      <w14:ligatures w14:val="non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等线" w:eastAsia="等线" w:hAnsi="等线" w:cstheme="minorBidi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ynn L</dc:creator>
  <cp:lastModifiedBy>中国科学院南京土壤研究所</cp:lastModifiedBy>
  <cp:revision>8</cp:revision>
  <dcterms:created xsi:type="dcterms:W3CDTF">2026-05-12T07:11:00Z</dcterms:created>
  <dcterms:modified xsi:type="dcterms:W3CDTF">2026-05-28T08:35:00Z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45ABC841E3934B59A41C41CABBC81BD6_13</vt:lpwstr>
  </property>
  <property fmtid="{D5CDD505-2E9C-101B-9397-08002B2CF9AE}" pid="4" name="KSOTemplateDocerSaveRecord">
    <vt:lpwstr>eyJoZGlkIjoiMzEzODlhMTJiYzg4ZTYyOTIyN2Y2NWFmNjYxZGNmMmYiLCJ1c2VySWQiOiI1ODU0ODY2ODkifQ==</vt:lpwstr>
  </property>
</Properties>
</file>